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144" w:rsidRDefault="00B95144" w:rsidP="00E64E4A">
      <w:pPr>
        <w:jc w:val="both"/>
      </w:pPr>
      <w:r>
        <w:t>Anzeigepflicht für Anlagenbetreiber (Anzeigeformular)</w:t>
      </w:r>
    </w:p>
    <w:p w:rsidR="00701747" w:rsidRDefault="00942657" w:rsidP="00701747">
      <w:pPr>
        <w:jc w:val="both"/>
      </w:pPr>
      <w:r>
        <w:t xml:space="preserve">Zu den wesentlichen Regelungen der 44. BImSchV zählt die </w:t>
      </w:r>
      <w:r w:rsidR="003F0312">
        <w:t>Registrierung von Feuerungsanlagen</w:t>
      </w:r>
      <w:r>
        <w:t xml:space="preserve"> (§ 6 der 44. BImSchV). Danach haben Betreiber einer Feuerungsanlage vor deren Inbetriebnahme den beabsichtigten Betrieb schriftlich oder elektronisch der zuständigen Behörde anzuzeigen. Betreiber bestehender Feuerungsanlagen haben den Betrieb bis zum 01.12.2023 anzuzeigen. Die zuständige Behörde für Anlagen im Landkreis Sächsische Schweiz-Osterzgebirge </w:t>
      </w:r>
      <w:r w:rsidR="003F0312">
        <w:t xml:space="preserve">ist </w:t>
      </w:r>
      <w:r>
        <w:t xml:space="preserve">das Landratsamt Sächsische Schweiz-Osterzgebirge. </w:t>
      </w:r>
    </w:p>
    <w:p w:rsidR="00BF0AFE" w:rsidRPr="00BF0AFE" w:rsidRDefault="00BF0AFE" w:rsidP="00701747">
      <w:pPr>
        <w:jc w:val="both"/>
        <w:rPr>
          <w:sz w:val="16"/>
          <w:szCs w:val="16"/>
        </w:rPr>
      </w:pPr>
      <w:r w:rsidRPr="00BF0AFE">
        <w:rPr>
          <w:sz w:val="16"/>
          <w:szCs w:val="16"/>
        </w:rPr>
        <w:t>Tabelle 1: Anzeigepflichten für Betreiber von Anlagen, welche der 44. BImSchV unterliegen.</w:t>
      </w:r>
    </w:p>
    <w:tbl>
      <w:tblPr>
        <w:tblStyle w:val="Tabellenraster"/>
        <w:tblW w:w="0" w:type="auto"/>
        <w:tblLook w:val="04A0" w:firstRow="1" w:lastRow="0" w:firstColumn="1" w:lastColumn="0" w:noHBand="0" w:noVBand="1"/>
      </w:tblPr>
      <w:tblGrid>
        <w:gridCol w:w="3794"/>
        <w:gridCol w:w="2693"/>
        <w:gridCol w:w="2725"/>
      </w:tblGrid>
      <w:tr w:rsidR="00BF0AFE" w:rsidRPr="00BF0AFE" w:rsidTr="00DD28C3">
        <w:tc>
          <w:tcPr>
            <w:tcW w:w="3794" w:type="dxa"/>
            <w:shd w:val="clear" w:color="auto" w:fill="BFBFBF" w:themeFill="background1" w:themeFillShade="BF"/>
            <w:vAlign w:val="center"/>
          </w:tcPr>
          <w:p w:rsidR="00BF0AFE" w:rsidRPr="00770DC8" w:rsidRDefault="00BF0AFE" w:rsidP="00DD28C3">
            <w:pPr>
              <w:rPr>
                <w:b/>
                <w:sz w:val="18"/>
                <w:szCs w:val="18"/>
              </w:rPr>
            </w:pPr>
            <w:r w:rsidRPr="00770DC8">
              <w:rPr>
                <w:b/>
                <w:sz w:val="18"/>
                <w:szCs w:val="18"/>
              </w:rPr>
              <w:t>Anlass</w:t>
            </w:r>
          </w:p>
        </w:tc>
        <w:tc>
          <w:tcPr>
            <w:tcW w:w="2693" w:type="dxa"/>
            <w:shd w:val="clear" w:color="auto" w:fill="BFBFBF" w:themeFill="background1" w:themeFillShade="BF"/>
            <w:vAlign w:val="center"/>
          </w:tcPr>
          <w:p w:rsidR="00BF0AFE" w:rsidRPr="00770DC8" w:rsidRDefault="00BF0AFE" w:rsidP="00DD28C3">
            <w:pPr>
              <w:rPr>
                <w:b/>
                <w:sz w:val="18"/>
                <w:szCs w:val="18"/>
              </w:rPr>
            </w:pPr>
            <w:r w:rsidRPr="00770DC8">
              <w:rPr>
                <w:b/>
                <w:sz w:val="18"/>
                <w:szCs w:val="18"/>
              </w:rPr>
              <w:t>Rechtsgrundlage</w:t>
            </w:r>
          </w:p>
        </w:tc>
        <w:tc>
          <w:tcPr>
            <w:tcW w:w="2725" w:type="dxa"/>
            <w:shd w:val="clear" w:color="auto" w:fill="BFBFBF" w:themeFill="background1" w:themeFillShade="BF"/>
            <w:vAlign w:val="center"/>
          </w:tcPr>
          <w:p w:rsidR="00BF0AFE" w:rsidRPr="00770DC8" w:rsidRDefault="00BF0AFE" w:rsidP="00DD28C3">
            <w:pPr>
              <w:rPr>
                <w:b/>
                <w:sz w:val="18"/>
                <w:szCs w:val="18"/>
              </w:rPr>
            </w:pPr>
            <w:r w:rsidRPr="00770DC8">
              <w:rPr>
                <w:b/>
                <w:sz w:val="18"/>
                <w:szCs w:val="18"/>
              </w:rPr>
              <w:t>Zeitpunkt</w:t>
            </w:r>
          </w:p>
        </w:tc>
      </w:tr>
      <w:tr w:rsidR="00BF0AFE" w:rsidRPr="00BF0AFE" w:rsidTr="00DD28C3">
        <w:tc>
          <w:tcPr>
            <w:tcW w:w="3794" w:type="dxa"/>
            <w:vAlign w:val="center"/>
          </w:tcPr>
          <w:p w:rsidR="00BF0AFE" w:rsidRPr="00770DC8" w:rsidRDefault="00BF0AFE" w:rsidP="00DD28C3">
            <w:pPr>
              <w:rPr>
                <w:sz w:val="18"/>
                <w:szCs w:val="18"/>
              </w:rPr>
            </w:pPr>
            <w:r w:rsidRPr="00770DC8">
              <w:rPr>
                <w:sz w:val="18"/>
                <w:szCs w:val="18"/>
              </w:rPr>
              <w:t>Anzeige einer Neuanlage</w:t>
            </w:r>
          </w:p>
        </w:tc>
        <w:tc>
          <w:tcPr>
            <w:tcW w:w="2693" w:type="dxa"/>
            <w:vAlign w:val="center"/>
          </w:tcPr>
          <w:p w:rsidR="00BF0AFE" w:rsidRPr="00770DC8" w:rsidRDefault="00BF0AFE" w:rsidP="00DD28C3">
            <w:pPr>
              <w:rPr>
                <w:sz w:val="18"/>
                <w:szCs w:val="18"/>
              </w:rPr>
            </w:pPr>
            <w:r w:rsidRPr="00770DC8">
              <w:rPr>
                <w:sz w:val="18"/>
                <w:szCs w:val="18"/>
              </w:rPr>
              <w:t>§ 6 Abs. 1 der 44. BImSchV</w:t>
            </w:r>
          </w:p>
        </w:tc>
        <w:tc>
          <w:tcPr>
            <w:tcW w:w="2725" w:type="dxa"/>
            <w:vAlign w:val="center"/>
          </w:tcPr>
          <w:p w:rsidR="00BF0AFE" w:rsidRPr="00770DC8" w:rsidRDefault="00DD28C3" w:rsidP="00DD28C3">
            <w:pPr>
              <w:rPr>
                <w:sz w:val="18"/>
                <w:szCs w:val="18"/>
              </w:rPr>
            </w:pPr>
            <w:r>
              <w:rPr>
                <w:sz w:val="18"/>
                <w:szCs w:val="18"/>
              </w:rPr>
              <w:t>v</w:t>
            </w:r>
            <w:r w:rsidR="00BF0AFE" w:rsidRPr="00770DC8">
              <w:rPr>
                <w:sz w:val="18"/>
                <w:szCs w:val="18"/>
              </w:rPr>
              <w:t>or Inbetriebnahme</w:t>
            </w:r>
          </w:p>
        </w:tc>
      </w:tr>
      <w:tr w:rsidR="00BF0AFE" w:rsidRPr="00BF0AFE" w:rsidTr="00DD28C3">
        <w:tc>
          <w:tcPr>
            <w:tcW w:w="3794" w:type="dxa"/>
            <w:vAlign w:val="center"/>
          </w:tcPr>
          <w:p w:rsidR="00BF0AFE" w:rsidRPr="00770DC8" w:rsidRDefault="00BF0AFE" w:rsidP="00DD28C3">
            <w:pPr>
              <w:rPr>
                <w:sz w:val="18"/>
                <w:szCs w:val="18"/>
              </w:rPr>
            </w:pPr>
            <w:r w:rsidRPr="00770DC8">
              <w:rPr>
                <w:sz w:val="18"/>
                <w:szCs w:val="18"/>
              </w:rPr>
              <w:t>Anzeige einer bestehenden Anlage</w:t>
            </w:r>
          </w:p>
        </w:tc>
        <w:tc>
          <w:tcPr>
            <w:tcW w:w="2693" w:type="dxa"/>
            <w:vAlign w:val="center"/>
          </w:tcPr>
          <w:p w:rsidR="00BF0AFE" w:rsidRPr="00770DC8" w:rsidRDefault="00BF0AFE" w:rsidP="00DD28C3">
            <w:pPr>
              <w:rPr>
                <w:sz w:val="18"/>
                <w:szCs w:val="18"/>
              </w:rPr>
            </w:pPr>
            <w:r w:rsidRPr="00770DC8">
              <w:rPr>
                <w:sz w:val="18"/>
                <w:szCs w:val="18"/>
              </w:rPr>
              <w:t>§ 6 Abs. 2 i. V. m.</w:t>
            </w:r>
          </w:p>
          <w:p w:rsidR="00BF0AFE" w:rsidRPr="00770DC8" w:rsidRDefault="00BF0AFE" w:rsidP="00DD28C3">
            <w:pPr>
              <w:rPr>
                <w:sz w:val="18"/>
                <w:szCs w:val="18"/>
              </w:rPr>
            </w:pPr>
            <w:r w:rsidRPr="00770DC8">
              <w:rPr>
                <w:sz w:val="18"/>
                <w:szCs w:val="18"/>
              </w:rPr>
              <w:t>§ 2 Abs. 4 der 44. BImSchV</w:t>
            </w:r>
          </w:p>
        </w:tc>
        <w:tc>
          <w:tcPr>
            <w:tcW w:w="2725" w:type="dxa"/>
            <w:vAlign w:val="center"/>
          </w:tcPr>
          <w:p w:rsidR="00BF0AFE" w:rsidRPr="00770DC8" w:rsidRDefault="00DD28C3" w:rsidP="00DD28C3">
            <w:pPr>
              <w:rPr>
                <w:sz w:val="18"/>
                <w:szCs w:val="18"/>
              </w:rPr>
            </w:pPr>
            <w:r>
              <w:rPr>
                <w:sz w:val="18"/>
                <w:szCs w:val="18"/>
              </w:rPr>
              <w:t>b</w:t>
            </w:r>
            <w:r w:rsidR="00BF0AFE" w:rsidRPr="00770DC8">
              <w:rPr>
                <w:sz w:val="18"/>
                <w:szCs w:val="18"/>
              </w:rPr>
              <w:t>is zum 01.12.2023</w:t>
            </w:r>
          </w:p>
        </w:tc>
      </w:tr>
      <w:tr w:rsidR="00BF0AFE" w:rsidRPr="00BF0AFE" w:rsidTr="00DD28C3">
        <w:tc>
          <w:tcPr>
            <w:tcW w:w="3794" w:type="dxa"/>
            <w:vAlign w:val="center"/>
          </w:tcPr>
          <w:p w:rsidR="00BF0AFE" w:rsidRPr="00770DC8" w:rsidRDefault="00BF0AFE" w:rsidP="00DD28C3">
            <w:pPr>
              <w:rPr>
                <w:sz w:val="18"/>
                <w:szCs w:val="18"/>
              </w:rPr>
            </w:pPr>
            <w:r w:rsidRPr="00770DC8">
              <w:rPr>
                <w:sz w:val="18"/>
                <w:szCs w:val="18"/>
              </w:rPr>
              <w:t>Anzeige einer emissionsrelevanten Änderung</w:t>
            </w:r>
          </w:p>
        </w:tc>
        <w:tc>
          <w:tcPr>
            <w:tcW w:w="2693" w:type="dxa"/>
            <w:vAlign w:val="center"/>
          </w:tcPr>
          <w:p w:rsidR="00BF0AFE" w:rsidRPr="00770DC8" w:rsidRDefault="00BF0AFE" w:rsidP="00DD28C3">
            <w:pPr>
              <w:rPr>
                <w:sz w:val="18"/>
                <w:szCs w:val="18"/>
              </w:rPr>
            </w:pPr>
            <w:r w:rsidRPr="00770DC8">
              <w:rPr>
                <w:sz w:val="18"/>
                <w:szCs w:val="18"/>
              </w:rPr>
              <w:t>§ 6 Abs. 5 der 44. BImSchV</w:t>
            </w:r>
          </w:p>
        </w:tc>
        <w:tc>
          <w:tcPr>
            <w:tcW w:w="2725" w:type="dxa"/>
            <w:vAlign w:val="center"/>
          </w:tcPr>
          <w:p w:rsidR="00BF0AFE" w:rsidRPr="00770DC8" w:rsidRDefault="00DD28C3" w:rsidP="00DD28C3">
            <w:pPr>
              <w:rPr>
                <w:sz w:val="18"/>
                <w:szCs w:val="18"/>
              </w:rPr>
            </w:pPr>
            <w:r>
              <w:rPr>
                <w:sz w:val="18"/>
                <w:szCs w:val="18"/>
              </w:rPr>
              <w:t>u</w:t>
            </w:r>
            <w:r w:rsidR="00BF0AFE" w:rsidRPr="00770DC8">
              <w:rPr>
                <w:sz w:val="18"/>
                <w:szCs w:val="18"/>
              </w:rPr>
              <w:t>nverzüglich, spätestens innerhalb eines Monats</w:t>
            </w:r>
          </w:p>
        </w:tc>
      </w:tr>
      <w:tr w:rsidR="00BF0AFE" w:rsidRPr="00BF0AFE" w:rsidTr="00DD28C3">
        <w:tc>
          <w:tcPr>
            <w:tcW w:w="3794" w:type="dxa"/>
            <w:vAlign w:val="center"/>
          </w:tcPr>
          <w:p w:rsidR="00BF0AFE" w:rsidRPr="00770DC8" w:rsidRDefault="00BF0AFE" w:rsidP="00DD28C3">
            <w:pPr>
              <w:rPr>
                <w:sz w:val="18"/>
                <w:szCs w:val="18"/>
              </w:rPr>
            </w:pPr>
            <w:r w:rsidRPr="00770DC8">
              <w:rPr>
                <w:sz w:val="18"/>
                <w:szCs w:val="18"/>
              </w:rPr>
              <w:t>Anzeige eines Betreiberwechsels</w:t>
            </w:r>
          </w:p>
        </w:tc>
        <w:tc>
          <w:tcPr>
            <w:tcW w:w="2693" w:type="dxa"/>
            <w:vAlign w:val="center"/>
          </w:tcPr>
          <w:p w:rsidR="00BF0AFE" w:rsidRPr="00770DC8" w:rsidRDefault="00BF0AFE" w:rsidP="00DD28C3">
            <w:pPr>
              <w:rPr>
                <w:sz w:val="18"/>
                <w:szCs w:val="18"/>
              </w:rPr>
            </w:pPr>
            <w:r w:rsidRPr="00770DC8">
              <w:rPr>
                <w:sz w:val="18"/>
                <w:szCs w:val="18"/>
              </w:rPr>
              <w:t>§ 6 Abs. 5 der 44. BImSchV</w:t>
            </w:r>
          </w:p>
        </w:tc>
        <w:tc>
          <w:tcPr>
            <w:tcW w:w="2725" w:type="dxa"/>
            <w:vAlign w:val="center"/>
          </w:tcPr>
          <w:p w:rsidR="00BF0AFE" w:rsidRPr="00770DC8" w:rsidRDefault="00DD28C3" w:rsidP="00DD28C3">
            <w:pPr>
              <w:rPr>
                <w:sz w:val="18"/>
                <w:szCs w:val="18"/>
              </w:rPr>
            </w:pPr>
            <w:r>
              <w:rPr>
                <w:sz w:val="18"/>
                <w:szCs w:val="18"/>
              </w:rPr>
              <w:t>u</w:t>
            </w:r>
            <w:r w:rsidR="00BF0AFE" w:rsidRPr="00770DC8">
              <w:rPr>
                <w:sz w:val="18"/>
                <w:szCs w:val="18"/>
              </w:rPr>
              <w:t>nverzüglich, spätestens innerhalb eines Monats</w:t>
            </w:r>
          </w:p>
        </w:tc>
      </w:tr>
      <w:tr w:rsidR="00BF0AFE" w:rsidRPr="00BF0AFE" w:rsidTr="00DD28C3">
        <w:tc>
          <w:tcPr>
            <w:tcW w:w="3794" w:type="dxa"/>
            <w:vAlign w:val="center"/>
          </w:tcPr>
          <w:p w:rsidR="00BF0AFE" w:rsidRPr="00770DC8" w:rsidRDefault="00BF0AFE" w:rsidP="00DD28C3">
            <w:pPr>
              <w:rPr>
                <w:sz w:val="18"/>
                <w:szCs w:val="18"/>
              </w:rPr>
            </w:pPr>
            <w:r w:rsidRPr="00770DC8">
              <w:rPr>
                <w:sz w:val="18"/>
                <w:szCs w:val="18"/>
              </w:rPr>
              <w:t>Anzeige einer endgültigen Stilllegung</w:t>
            </w:r>
          </w:p>
        </w:tc>
        <w:tc>
          <w:tcPr>
            <w:tcW w:w="2693" w:type="dxa"/>
            <w:vAlign w:val="center"/>
          </w:tcPr>
          <w:p w:rsidR="00BF0AFE" w:rsidRPr="00770DC8" w:rsidRDefault="00BF0AFE" w:rsidP="00DD28C3">
            <w:pPr>
              <w:rPr>
                <w:sz w:val="18"/>
                <w:szCs w:val="18"/>
              </w:rPr>
            </w:pPr>
            <w:r w:rsidRPr="00770DC8">
              <w:rPr>
                <w:sz w:val="18"/>
                <w:szCs w:val="18"/>
              </w:rPr>
              <w:t>§ 6 Abs. 5 der 44. BImSchV</w:t>
            </w:r>
          </w:p>
        </w:tc>
        <w:tc>
          <w:tcPr>
            <w:tcW w:w="2725" w:type="dxa"/>
            <w:vAlign w:val="center"/>
          </w:tcPr>
          <w:p w:rsidR="00BF0AFE" w:rsidRPr="00770DC8" w:rsidRDefault="00DD28C3" w:rsidP="00DD28C3">
            <w:pPr>
              <w:rPr>
                <w:sz w:val="18"/>
                <w:szCs w:val="18"/>
              </w:rPr>
            </w:pPr>
            <w:r>
              <w:rPr>
                <w:sz w:val="18"/>
                <w:szCs w:val="18"/>
              </w:rPr>
              <w:t>u</w:t>
            </w:r>
            <w:r w:rsidR="00BF0AFE" w:rsidRPr="00770DC8">
              <w:rPr>
                <w:sz w:val="18"/>
                <w:szCs w:val="18"/>
              </w:rPr>
              <w:t>nverzüglich, spätestens innerhalb eines Monats</w:t>
            </w:r>
          </w:p>
        </w:tc>
      </w:tr>
    </w:tbl>
    <w:p w:rsidR="00BF0AFE" w:rsidRDefault="00BF0AFE" w:rsidP="00701747">
      <w:pPr>
        <w:jc w:val="both"/>
      </w:pPr>
    </w:p>
    <w:p w:rsidR="008D7A1A" w:rsidRDefault="003F0312" w:rsidP="00E64E4A">
      <w:pPr>
        <w:jc w:val="both"/>
      </w:pPr>
      <w:r>
        <w:t>Das Staatsministerium für Energie, Klimaschutz und Landwirtschaft</w:t>
      </w:r>
      <w:r w:rsidR="00080597">
        <w:t xml:space="preserve"> (</w:t>
      </w:r>
      <w:proofErr w:type="spellStart"/>
      <w:r w:rsidR="00080597">
        <w:t>SMEKuL</w:t>
      </w:r>
      <w:proofErr w:type="spellEnd"/>
      <w:r w:rsidR="00080597">
        <w:t>)</w:t>
      </w:r>
      <w:r>
        <w:t xml:space="preserve"> hat eine Allgemeinverfügung erlassen, nach welcher die Anzeige der Anlagen im Freistaat Sachsen ausschließlich elektronisch per E-Mail an die zuständige Immissionsschutzbehörde zu übermitteln ist.</w:t>
      </w:r>
      <w:r w:rsidR="00080597" w:rsidRPr="00080597">
        <w:t xml:space="preserve"> </w:t>
      </w:r>
      <w:r w:rsidR="00080597">
        <w:t>Die Registrierung erfolgt mittels eines Anzeigeformulars.</w:t>
      </w:r>
    </w:p>
    <w:p w:rsidR="00CF0CD9" w:rsidRDefault="000B4CD6" w:rsidP="00BD7232">
      <w:pPr>
        <w:pStyle w:val="Listenabsatz"/>
        <w:numPr>
          <w:ilvl w:val="0"/>
          <w:numId w:val="5"/>
        </w:numPr>
      </w:pPr>
      <w:hyperlink r:id="rId8" w:history="1">
        <w:r w:rsidR="00BD7232" w:rsidRPr="00BD7232">
          <w:rPr>
            <w:rStyle w:val="Hyperlink"/>
          </w:rPr>
          <w:t>Allgemeinverfügung</w:t>
        </w:r>
      </w:hyperlink>
    </w:p>
    <w:p w:rsidR="00BD7232" w:rsidRDefault="000B4CD6" w:rsidP="00BD7232">
      <w:pPr>
        <w:pStyle w:val="Listenabsatz"/>
        <w:numPr>
          <w:ilvl w:val="0"/>
          <w:numId w:val="5"/>
        </w:numPr>
      </w:pPr>
      <w:hyperlink r:id="rId9" w:history="1">
        <w:r w:rsidR="00BD7232" w:rsidRPr="00AE6665">
          <w:rPr>
            <w:rStyle w:val="Hyperlink"/>
          </w:rPr>
          <w:t>Anzeigeformular</w:t>
        </w:r>
      </w:hyperlink>
      <w:bookmarkStart w:id="0" w:name="_GoBack"/>
      <w:bookmarkEnd w:id="0"/>
    </w:p>
    <w:p w:rsidR="00CF0CD9" w:rsidRDefault="00CF0CD9" w:rsidP="008D7A1A"/>
    <w:p w:rsidR="00CF0CD9" w:rsidRDefault="00CF0CD9" w:rsidP="008D7A1A"/>
    <w:p w:rsidR="00CF0CD9" w:rsidRDefault="00CF0CD9" w:rsidP="008D7A1A"/>
    <w:p w:rsidR="00CF0CD9" w:rsidRDefault="00CF0CD9" w:rsidP="008D7A1A"/>
    <w:p w:rsidR="00CF0CD9" w:rsidRDefault="00CF0CD9" w:rsidP="008D7A1A"/>
    <w:p w:rsidR="00CF0CD9" w:rsidRDefault="00CF0CD9" w:rsidP="008D7A1A"/>
    <w:p w:rsidR="00CF0CD9" w:rsidRDefault="00CF0CD9" w:rsidP="008D7A1A"/>
    <w:p w:rsidR="00CF0CD9" w:rsidRDefault="00CF0CD9" w:rsidP="008D7A1A"/>
    <w:p w:rsidR="00CF0CD9" w:rsidRDefault="00CF0CD9" w:rsidP="008D7A1A"/>
    <w:p w:rsidR="00770DC8" w:rsidRDefault="00770DC8" w:rsidP="008D7A1A"/>
    <w:p w:rsidR="006558EC" w:rsidRDefault="006558EC" w:rsidP="008D7A1A"/>
    <w:sectPr w:rsidR="006558EC" w:rsidSect="004950D4">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CD6" w:rsidRDefault="000B4CD6" w:rsidP="000B4CD6">
      <w:pPr>
        <w:spacing w:after="0" w:line="240" w:lineRule="auto"/>
      </w:pPr>
      <w:r>
        <w:separator/>
      </w:r>
    </w:p>
  </w:endnote>
  <w:endnote w:type="continuationSeparator" w:id="0">
    <w:p w:rsidR="000B4CD6" w:rsidRDefault="000B4CD6" w:rsidP="000B4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CD6" w:rsidRDefault="000B4CD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CD6" w:rsidRDefault="000B4CD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CD6" w:rsidRDefault="000B4CD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CD6" w:rsidRDefault="000B4CD6" w:rsidP="000B4CD6">
      <w:pPr>
        <w:spacing w:after="0" w:line="240" w:lineRule="auto"/>
      </w:pPr>
      <w:r>
        <w:separator/>
      </w:r>
    </w:p>
  </w:footnote>
  <w:footnote w:type="continuationSeparator" w:id="0">
    <w:p w:rsidR="000B4CD6" w:rsidRDefault="000B4CD6" w:rsidP="000B4C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CD6" w:rsidRDefault="000B4CD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CD6" w:rsidRDefault="000B4CD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CD6" w:rsidRDefault="000B4CD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F0190"/>
    <w:multiLevelType w:val="hybridMultilevel"/>
    <w:tmpl w:val="6B90CFE2"/>
    <w:lvl w:ilvl="0" w:tplc="426EF1F8">
      <w:start w:val="10"/>
      <w:numFmt w:val="bullet"/>
      <w:lvlText w:val=""/>
      <w:lvlJc w:val="left"/>
      <w:pPr>
        <w:ind w:left="720" w:hanging="360"/>
      </w:pPr>
      <w:rPr>
        <w:rFonts w:ascii="Symbol" w:eastAsia="Calibr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4EE498E"/>
    <w:multiLevelType w:val="hybridMultilevel"/>
    <w:tmpl w:val="170A567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06A33F2"/>
    <w:multiLevelType w:val="hybridMultilevel"/>
    <w:tmpl w:val="2F923E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54B6AEE"/>
    <w:multiLevelType w:val="hybridMultilevel"/>
    <w:tmpl w:val="15140E0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B090044"/>
    <w:multiLevelType w:val="hybridMultilevel"/>
    <w:tmpl w:val="BDBEC76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026"/>
    <w:rsid w:val="00080597"/>
    <w:rsid w:val="000B4CD6"/>
    <w:rsid w:val="00157256"/>
    <w:rsid w:val="00344DDE"/>
    <w:rsid w:val="00373478"/>
    <w:rsid w:val="003F0312"/>
    <w:rsid w:val="004950D4"/>
    <w:rsid w:val="004A1B2C"/>
    <w:rsid w:val="0058767D"/>
    <w:rsid w:val="006435CF"/>
    <w:rsid w:val="006558EC"/>
    <w:rsid w:val="006960AC"/>
    <w:rsid w:val="006C0A2A"/>
    <w:rsid w:val="00701747"/>
    <w:rsid w:val="007700D7"/>
    <w:rsid w:val="00770DC8"/>
    <w:rsid w:val="0081342F"/>
    <w:rsid w:val="00853D71"/>
    <w:rsid w:val="008D7A1A"/>
    <w:rsid w:val="00942657"/>
    <w:rsid w:val="00A15842"/>
    <w:rsid w:val="00AE6665"/>
    <w:rsid w:val="00B95144"/>
    <w:rsid w:val="00BD7232"/>
    <w:rsid w:val="00BF0AFE"/>
    <w:rsid w:val="00C449E4"/>
    <w:rsid w:val="00C659AC"/>
    <w:rsid w:val="00CE43A8"/>
    <w:rsid w:val="00CF0CD9"/>
    <w:rsid w:val="00D05CB6"/>
    <w:rsid w:val="00DD28C3"/>
    <w:rsid w:val="00DE7026"/>
    <w:rsid w:val="00E5685A"/>
    <w:rsid w:val="00E64E4A"/>
    <w:rsid w:val="00EC4E51"/>
    <w:rsid w:val="00EE3162"/>
    <w:rsid w:val="00F3179E"/>
    <w:rsid w:val="00FA02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8D9441-DF01-4E44-A196-271747B7A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3179E"/>
    <w:rPr>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01747"/>
    <w:pPr>
      <w:ind w:left="720"/>
      <w:contextualSpacing/>
    </w:pPr>
  </w:style>
  <w:style w:type="character" w:styleId="Hyperlink">
    <w:name w:val="Hyperlink"/>
    <w:basedOn w:val="Absatz-Standardschriftart"/>
    <w:uiPriority w:val="99"/>
    <w:unhideWhenUsed/>
    <w:rsid w:val="00D05CB6"/>
    <w:rPr>
      <w:strike w:val="0"/>
      <w:dstrike w:val="0"/>
      <w:color w:val="5FA523"/>
      <w:u w:val="none"/>
      <w:effect w:val="none"/>
      <w:shd w:val="clear" w:color="auto" w:fill="auto"/>
    </w:rPr>
  </w:style>
  <w:style w:type="paragraph" w:styleId="StandardWeb">
    <w:name w:val="Normal (Web)"/>
    <w:basedOn w:val="Standard"/>
    <w:uiPriority w:val="99"/>
    <w:semiHidden/>
    <w:unhideWhenUsed/>
    <w:rsid w:val="00D05CB6"/>
    <w:pPr>
      <w:spacing w:after="100" w:afterAutospacing="1" w:line="240" w:lineRule="auto"/>
    </w:pPr>
    <w:rPr>
      <w:rFonts w:ascii="Times New Roman" w:eastAsia="Times New Roman" w:hAnsi="Times New Roman"/>
      <w:sz w:val="24"/>
      <w:szCs w:val="24"/>
    </w:rPr>
  </w:style>
  <w:style w:type="paragraph" w:styleId="Sprechblasentext">
    <w:name w:val="Balloon Text"/>
    <w:basedOn w:val="Standard"/>
    <w:link w:val="SprechblasentextZchn"/>
    <w:uiPriority w:val="99"/>
    <w:semiHidden/>
    <w:unhideWhenUsed/>
    <w:rsid w:val="004A1B2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A1B2C"/>
    <w:rPr>
      <w:rFonts w:ascii="Tahoma" w:hAnsi="Tahoma" w:cs="Tahoma"/>
      <w:sz w:val="16"/>
      <w:szCs w:val="16"/>
      <w:lang w:eastAsia="de-DE"/>
    </w:rPr>
  </w:style>
  <w:style w:type="paragraph" w:styleId="Zitat">
    <w:name w:val="Quote"/>
    <w:basedOn w:val="Standard"/>
    <w:next w:val="Standard"/>
    <w:link w:val="ZitatZchn"/>
    <w:uiPriority w:val="29"/>
    <w:qFormat/>
    <w:rsid w:val="007700D7"/>
    <w:rPr>
      <w:rFonts w:asciiTheme="minorHAnsi" w:eastAsiaTheme="minorEastAsia" w:hAnsiTheme="minorHAnsi" w:cstheme="minorBidi"/>
      <w:i/>
      <w:iCs/>
      <w:color w:val="000000" w:themeColor="text1"/>
      <w:szCs w:val="22"/>
    </w:rPr>
  </w:style>
  <w:style w:type="character" w:customStyle="1" w:styleId="ZitatZchn">
    <w:name w:val="Zitat Zchn"/>
    <w:basedOn w:val="Absatz-Standardschriftart"/>
    <w:link w:val="Zitat"/>
    <w:uiPriority w:val="29"/>
    <w:rsid w:val="007700D7"/>
    <w:rPr>
      <w:rFonts w:asciiTheme="minorHAnsi" w:eastAsiaTheme="minorEastAsia" w:hAnsiTheme="minorHAnsi" w:cstheme="minorBidi"/>
      <w:i/>
      <w:iCs/>
      <w:color w:val="000000" w:themeColor="text1"/>
      <w:lang w:eastAsia="de-DE"/>
    </w:rPr>
  </w:style>
  <w:style w:type="table" w:styleId="Tabellenraster">
    <w:name w:val="Table Grid"/>
    <w:basedOn w:val="NormaleTabelle"/>
    <w:uiPriority w:val="59"/>
    <w:rsid w:val="00BF0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AE6665"/>
    <w:rPr>
      <w:color w:val="800080" w:themeColor="followedHyperlink"/>
      <w:u w:val="single"/>
    </w:rPr>
  </w:style>
  <w:style w:type="paragraph" w:styleId="Kopfzeile">
    <w:name w:val="header"/>
    <w:basedOn w:val="Standard"/>
    <w:link w:val="KopfzeileZchn"/>
    <w:uiPriority w:val="99"/>
    <w:unhideWhenUsed/>
    <w:rsid w:val="000B4C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B4CD6"/>
    <w:rPr>
      <w:szCs w:val="20"/>
      <w:lang w:eastAsia="de-DE"/>
    </w:rPr>
  </w:style>
  <w:style w:type="paragraph" w:styleId="Fuzeile">
    <w:name w:val="footer"/>
    <w:basedOn w:val="Standard"/>
    <w:link w:val="FuzeileZchn"/>
    <w:uiPriority w:val="99"/>
    <w:unhideWhenUsed/>
    <w:rsid w:val="000B4C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B4CD6"/>
    <w:rPr>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11044">
      <w:bodyDiv w:val="1"/>
      <w:marLeft w:val="0"/>
      <w:marRight w:val="0"/>
      <w:marTop w:val="0"/>
      <w:marBottom w:val="0"/>
      <w:divBdr>
        <w:top w:val="none" w:sz="0" w:space="0" w:color="auto"/>
        <w:left w:val="none" w:sz="0" w:space="0" w:color="auto"/>
        <w:bottom w:val="none" w:sz="0" w:space="0" w:color="auto"/>
        <w:right w:val="none" w:sz="0" w:space="0" w:color="auto"/>
      </w:divBdr>
    </w:div>
    <w:div w:id="263341127">
      <w:bodyDiv w:val="1"/>
      <w:marLeft w:val="0"/>
      <w:marRight w:val="0"/>
      <w:marTop w:val="0"/>
      <w:marBottom w:val="0"/>
      <w:divBdr>
        <w:top w:val="none" w:sz="0" w:space="0" w:color="auto"/>
        <w:left w:val="none" w:sz="0" w:space="0" w:color="auto"/>
        <w:bottom w:val="none" w:sz="0" w:space="0" w:color="auto"/>
        <w:right w:val="none" w:sz="0" w:space="0" w:color="auto"/>
      </w:divBdr>
    </w:div>
    <w:div w:id="777212698">
      <w:bodyDiv w:val="1"/>
      <w:marLeft w:val="0"/>
      <w:marRight w:val="0"/>
      <w:marTop w:val="0"/>
      <w:marBottom w:val="0"/>
      <w:divBdr>
        <w:top w:val="none" w:sz="0" w:space="0" w:color="auto"/>
        <w:left w:val="none" w:sz="0" w:space="0" w:color="auto"/>
        <w:bottom w:val="none" w:sz="0" w:space="0" w:color="auto"/>
        <w:right w:val="none" w:sz="0" w:space="0" w:color="auto"/>
      </w:divBdr>
    </w:div>
    <w:div w:id="1967351584">
      <w:bodyDiv w:val="1"/>
      <w:marLeft w:val="0"/>
      <w:marRight w:val="0"/>
      <w:marTop w:val="0"/>
      <w:marBottom w:val="0"/>
      <w:divBdr>
        <w:top w:val="none" w:sz="0" w:space="0" w:color="auto"/>
        <w:left w:val="none" w:sz="0" w:space="0" w:color="auto"/>
        <w:bottom w:val="none" w:sz="0" w:space="0" w:color="auto"/>
        <w:right w:val="none" w:sz="0" w:space="0" w:color="auto"/>
      </w:divBdr>
      <w:divsChild>
        <w:div w:id="679434673">
          <w:marLeft w:val="-225"/>
          <w:marRight w:val="-225"/>
          <w:marTop w:val="0"/>
          <w:marBottom w:val="0"/>
          <w:divBdr>
            <w:top w:val="none" w:sz="0" w:space="0" w:color="auto"/>
            <w:left w:val="none" w:sz="0" w:space="0" w:color="auto"/>
            <w:bottom w:val="none" w:sz="0" w:space="0" w:color="auto"/>
            <w:right w:val="none" w:sz="0" w:space="0" w:color="auto"/>
          </w:divBdr>
          <w:divsChild>
            <w:div w:id="157888713">
              <w:marLeft w:val="0"/>
              <w:marRight w:val="0"/>
              <w:marTop w:val="0"/>
              <w:marBottom w:val="0"/>
              <w:divBdr>
                <w:top w:val="none" w:sz="0" w:space="0" w:color="auto"/>
                <w:left w:val="none" w:sz="0" w:space="0" w:color="auto"/>
                <w:bottom w:val="none" w:sz="0" w:space="0" w:color="auto"/>
                <w:right w:val="none" w:sz="0" w:space="0" w:color="auto"/>
              </w:divBdr>
              <w:divsChild>
                <w:div w:id="618611870">
                  <w:marLeft w:val="0"/>
                  <w:marRight w:val="0"/>
                  <w:marTop w:val="0"/>
                  <w:marBottom w:val="675"/>
                  <w:divBdr>
                    <w:top w:val="none" w:sz="0" w:space="0" w:color="auto"/>
                    <w:left w:val="none" w:sz="0" w:space="0" w:color="auto"/>
                    <w:bottom w:val="none" w:sz="0" w:space="0" w:color="auto"/>
                    <w:right w:val="none" w:sz="0" w:space="0" w:color="auto"/>
                  </w:divBdr>
                  <w:divsChild>
                    <w:div w:id="321814398">
                      <w:marLeft w:val="0"/>
                      <w:marRight w:val="0"/>
                      <w:marTop w:val="0"/>
                      <w:marBottom w:val="0"/>
                      <w:divBdr>
                        <w:top w:val="none" w:sz="0" w:space="0" w:color="auto"/>
                        <w:left w:val="none" w:sz="0" w:space="0" w:color="auto"/>
                        <w:bottom w:val="none" w:sz="0" w:space="0" w:color="auto"/>
                        <w:right w:val="none" w:sz="0" w:space="0" w:color="auto"/>
                      </w:divBdr>
                      <w:divsChild>
                        <w:div w:id="416875858">
                          <w:marLeft w:val="0"/>
                          <w:marRight w:val="0"/>
                          <w:marTop w:val="0"/>
                          <w:marBottom w:val="0"/>
                          <w:divBdr>
                            <w:top w:val="none" w:sz="0" w:space="0" w:color="auto"/>
                            <w:left w:val="none" w:sz="0" w:space="0" w:color="auto"/>
                            <w:bottom w:val="none" w:sz="0" w:space="0" w:color="auto"/>
                            <w:right w:val="none" w:sz="0" w:space="0" w:color="auto"/>
                          </w:divBdr>
                          <w:divsChild>
                            <w:div w:id="1122653477">
                              <w:marLeft w:val="0"/>
                              <w:marRight w:val="0"/>
                              <w:marTop w:val="0"/>
                              <w:marBottom w:val="0"/>
                              <w:divBdr>
                                <w:top w:val="none" w:sz="0" w:space="0" w:color="auto"/>
                                <w:left w:val="none" w:sz="0" w:space="0" w:color="auto"/>
                                <w:bottom w:val="none" w:sz="0" w:space="0" w:color="auto"/>
                                <w:right w:val="none" w:sz="0" w:space="0" w:color="auto"/>
                              </w:divBdr>
                              <w:divsChild>
                                <w:div w:id="39990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ft.sachsen.de/download/Allgemeinverfuegung_44_BImSchV.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uft.sachsen.de/download/luft/44bv-MFA-Anzeige-Registrierungsformular_SN-20200103.pdf" TargetMode="External"/><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F61EE-F0AE-437F-8CD9-5420649F2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1529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LRA Sächsische Schweiz Osterzgebirge</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Sellger, Katja</dc:creator>
  <cp:lastModifiedBy>Clauß, Petra</cp:lastModifiedBy>
  <cp:revision>4</cp:revision>
  <cp:lastPrinted>2020-09-30T14:56:00Z</cp:lastPrinted>
  <dcterms:created xsi:type="dcterms:W3CDTF">2020-09-30T14:42:00Z</dcterms:created>
  <dcterms:modified xsi:type="dcterms:W3CDTF">2022-12-15T14:58:00Z</dcterms:modified>
</cp:coreProperties>
</file>